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CBC" w:rsidRDefault="00D60CBC" w:rsidP="00D60CBC">
      <w:pPr>
        <w:autoSpaceDE w:val="0"/>
        <w:autoSpaceDN w:val="0"/>
        <w:adjustRightInd w:val="0"/>
        <w:spacing w:after="266"/>
        <w:ind w:right="589"/>
        <w:rPr>
          <w:rFonts w:cstheme="minorHAnsi"/>
        </w:rPr>
      </w:pPr>
      <w:r w:rsidRPr="00EB4204">
        <w:rPr>
          <w:rFonts w:ascii="Calibri" w:hAnsi="Calibri" w:cs="Calibri"/>
          <w:b/>
          <w:bCs/>
          <w:sz w:val="32"/>
          <w:szCs w:val="32"/>
        </w:rPr>
        <w:t>Script vidéo </w:t>
      </w:r>
      <w:r>
        <w:rPr>
          <w:rFonts w:ascii="Calibri" w:hAnsi="Calibri" w:cs="Calibri"/>
          <w:b/>
          <w:bCs/>
          <w:sz w:val="32"/>
          <w:szCs w:val="32"/>
        </w:rPr>
        <w:t>3</w:t>
      </w:r>
      <w:r w:rsidRPr="00EB4204">
        <w:rPr>
          <w:rFonts w:ascii="Calibri" w:hAnsi="Calibri" w:cs="Calibri"/>
          <w:b/>
          <w:bCs/>
          <w:sz w:val="32"/>
          <w:szCs w:val="32"/>
        </w:rPr>
        <w:t xml:space="preserve"> - </w:t>
      </w:r>
      <w:r w:rsidRPr="00D60CBC">
        <w:rPr>
          <w:rFonts w:ascii="Calibri" w:hAnsi="Calibri" w:cs="Calibri"/>
          <w:b/>
          <w:bCs/>
          <w:sz w:val="32"/>
          <w:szCs w:val="32"/>
        </w:rPr>
        <w:t>L’examen de la portée : les conseils de Louis-Pierre, étudiant au doctorat</w:t>
      </w:r>
      <w:r w:rsidRPr="00D60CBC">
        <w:rPr>
          <w:rFonts w:cstheme="minorHAnsi"/>
        </w:rPr>
        <w:t xml:space="preserve"> </w:t>
      </w:r>
    </w:p>
    <w:p w:rsidR="00B74710" w:rsidRPr="00B74710" w:rsidRDefault="00B74710" w:rsidP="00532777">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 xml:space="preserve">Bonjour, je m’appelle Tamara Lefranc, je suis étudiante en troisième année en ergothérapie et je suis membre de </w:t>
      </w:r>
      <w:proofErr w:type="spellStart"/>
      <w:r w:rsidRPr="00B74710">
        <w:rPr>
          <w:rFonts w:ascii="Calibri" w:hAnsi="Calibri" w:cs="Calibri"/>
          <w:kern w:val="0"/>
          <w:sz w:val="22"/>
          <w:szCs w:val="22"/>
        </w:rPr>
        <w:t>ViserErgo</w:t>
      </w:r>
      <w:proofErr w:type="spellEnd"/>
    </w:p>
    <w:p w:rsidR="00B74710" w:rsidRPr="00B74710" w:rsidRDefault="00B74710" w:rsidP="00B74710">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Bonjour, je m’appelle Louis-Pierre Auger, je suis ergothérapeute et je suis étudiant au doctorat au centre de réadaptation à l’Université de Montréal</w:t>
      </w:r>
      <w:r w:rsidRPr="00B74710">
        <w:rPr>
          <w:rFonts w:ascii="MS Gothic" w:eastAsia="MS Gothic" w:hAnsi="MS Gothic" w:cs="MS Gothic" w:hint="eastAsia"/>
          <w:kern w:val="0"/>
          <w:sz w:val="22"/>
          <w:szCs w:val="22"/>
        </w:rPr>
        <w:t> </w:t>
      </w:r>
    </w:p>
    <w:p w:rsidR="00B74710" w:rsidRPr="00B74710" w:rsidRDefault="00B74710" w:rsidP="00B74710">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Comment s’est passée votre première expérience avec l’examen de la portée ?</w:t>
      </w:r>
    </w:p>
    <w:p w:rsidR="00B74710" w:rsidRPr="00B74710" w:rsidRDefault="00B74710" w:rsidP="00532777">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 xml:space="preserve">Ça a bien été. J’ai beaucoup aimé ça. C’était une belle expérience </w:t>
      </w:r>
      <w:proofErr w:type="gramStart"/>
      <w:r w:rsidRPr="00B74710">
        <w:rPr>
          <w:rFonts w:ascii="Calibri" w:hAnsi="Calibri" w:cs="Calibri"/>
          <w:kern w:val="0"/>
          <w:sz w:val="22"/>
          <w:szCs w:val="22"/>
        </w:rPr>
        <w:t>de un</w:t>
      </w:r>
      <w:proofErr w:type="gramEnd"/>
      <w:r w:rsidRPr="00B74710">
        <w:rPr>
          <w:rFonts w:ascii="Calibri" w:hAnsi="Calibri" w:cs="Calibri"/>
          <w:kern w:val="0"/>
          <w:sz w:val="22"/>
          <w:szCs w:val="22"/>
        </w:rPr>
        <w:t>. J’ai beaucoup appris. Au départ je me demandais un peu où je m’en allais avec la revue de la portée, je me questionnais à savoir c’est quoi les objectifs de cette méthode parce que j’étais plus habitué à voir des revues systématiques. Donc, je dirais que mon expérience a été très positive. Un élément que je pourrais ajouter aussi c’est que la revue de la portée, ça m’a bien orienté pour le début de mon projet de doctorat en fait. Ça m’a orienté sur ce qui est fait dans la recherche jusqu’à maintenant, mais aussi qu’est ce qui reste à faire. Parce que c’est un des beaux objectifs de la revue de la portée. </w:t>
      </w:r>
    </w:p>
    <w:p w:rsidR="00B74710" w:rsidRPr="00B74710" w:rsidRDefault="00B74710" w:rsidP="00B74710">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Quels sont les avantages d’un étudiant à choisir l’examen de la portée ?</w:t>
      </w:r>
    </w:p>
    <w:p w:rsidR="00B74710" w:rsidRPr="00B74710" w:rsidRDefault="00B74710" w:rsidP="00B74710">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Donc, premièrement de savoir dans quel sens la recherche devrait s’en aller. Est-ce qu’il y a d’autres chercheurs qui ont déjà fait le travail que tu prévois faire, ou dans les domaines qui sont connexes au tien, qu’est ce qui a été fait jusqu’</w:t>
      </w:r>
      <w:proofErr w:type="spellStart"/>
      <w:r w:rsidRPr="00B74710">
        <w:rPr>
          <w:rFonts w:ascii="Calibri" w:hAnsi="Calibri" w:cs="Calibri"/>
          <w:kern w:val="0"/>
          <w:sz w:val="22"/>
          <w:szCs w:val="22"/>
        </w:rPr>
        <w:t>a</w:t>
      </w:r>
      <w:proofErr w:type="spellEnd"/>
      <w:r w:rsidRPr="00B74710">
        <w:rPr>
          <w:rFonts w:ascii="Calibri" w:hAnsi="Calibri" w:cs="Calibri"/>
          <w:kern w:val="0"/>
          <w:sz w:val="22"/>
          <w:szCs w:val="22"/>
        </w:rPr>
        <w:t xml:space="preserve"> maintenant. C’est une très belle fonction de la revue de la portée et c’est une très belle manière justement de savoir que nos travaux sont pertinents. Les avantages aussi je dirais que ça te permet comme étudiant ou comme futur chercheur de travailler à ton rythme. La revue de la portée, tu l’avances quand tu as quelques minutes, ou quelques heures dans ta journée. Tu peux le faire au rythme que tu veux, donc ça, c’est quelque chose qui est très intéressant. Ça te permet d’avoir plus de flexibilité. Si à certains moments tu as des cours ou tu as d’autres activités de recherche qui prennent du temps, bien à ce moment-là, tu peux choisir de mettre un peu moins de temps sur ta revue de la portée. Ensuite, si </w:t>
      </w:r>
      <w:proofErr w:type="spellStart"/>
      <w:r w:rsidRPr="00B74710">
        <w:rPr>
          <w:rFonts w:ascii="Calibri" w:hAnsi="Calibri" w:cs="Calibri"/>
          <w:kern w:val="0"/>
          <w:sz w:val="22"/>
          <w:szCs w:val="22"/>
        </w:rPr>
        <w:t>a</w:t>
      </w:r>
      <w:proofErr w:type="spellEnd"/>
      <w:r w:rsidRPr="00B74710">
        <w:rPr>
          <w:rFonts w:ascii="Calibri" w:hAnsi="Calibri" w:cs="Calibri"/>
          <w:kern w:val="0"/>
          <w:sz w:val="22"/>
          <w:szCs w:val="22"/>
        </w:rPr>
        <w:t xml:space="preserve"> un moment tu as plus de disponibilités, bien là tu peux y aller d’une manière plus intense, consacrer plus de temps. Ce n’est pas toutes les méthodes de recherche qui nous permettent de faire ça. Donc, la revue de la portée c’est intéressant. Aussi, un autre avantage de choisir de faire une revue de la portée, je dirais que ça vous permet d’approfondir un sujet qui a été peu étudié à la base parce que naturellement, cette méthode de recherche ne se fait pas pour des sujets qui ont été beaucoup étudiés. Donc, la revue de la portée, ça vous permet d’aller vers des sujets, par exemple, des pratiques innovantes, des sujets peu étudiés, des choses mêmes inusitées. Parce que vous allez chercher oui de la littérature scientifique, mais vous avez aussi la possibilité d’aller intégrer d’autres types de sources comme la littérature grise par exemple des livres, des blogues, des articles de journaux grand public. Donc, ça peut être vraiment intéressant comme travail de recherche à faire.  </w:t>
      </w:r>
    </w:p>
    <w:p w:rsidR="00B74710" w:rsidRPr="00B74710" w:rsidRDefault="00B74710" w:rsidP="00532777">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Pour vous, quelles sont les qualités qui rendent les étudiants plus habiles à réaliser un examen de la portée ?</w:t>
      </w:r>
    </w:p>
    <w:p w:rsidR="00B74710" w:rsidRPr="00B74710" w:rsidRDefault="00B74710" w:rsidP="00532777">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lastRenderedPageBreak/>
        <w:t xml:space="preserve">Bonne question. Ce que je dirais, premièrement, c’est qu’il faut être intéressé par ce qu’on fait. La revue de la portée va être vraiment plus agréable, plus facile à faire si le sujet sur lequel vous travaillez vous intéresse. Une autre qualité c’est </w:t>
      </w:r>
      <w:proofErr w:type="spellStart"/>
      <w:proofErr w:type="gramStart"/>
      <w:r w:rsidRPr="00B74710">
        <w:rPr>
          <w:rFonts w:ascii="Calibri" w:hAnsi="Calibri" w:cs="Calibri"/>
          <w:kern w:val="0"/>
          <w:sz w:val="22"/>
          <w:szCs w:val="22"/>
        </w:rPr>
        <w:t>sur</w:t>
      </w:r>
      <w:proofErr w:type="spellEnd"/>
      <w:proofErr w:type="gramEnd"/>
      <w:r w:rsidRPr="00B74710">
        <w:rPr>
          <w:rFonts w:ascii="Calibri" w:hAnsi="Calibri" w:cs="Calibri"/>
          <w:kern w:val="0"/>
          <w:sz w:val="22"/>
          <w:szCs w:val="22"/>
        </w:rPr>
        <w:t xml:space="preserve"> que l’organisation c’est important. De savoir poser les questions au bon moment aussi, de ne pas hésiter à le faire, parce que, particulièrement dans les premières parties, de votre vue de la portée, vous voulez être certain de partir du bon côté et de partir sur de bonnes bases. Puis c’est correct de ne pas tout savoir du premier coup. C’est pour ça que vous avez des professeurs, c’est pour ça que vous avez des collègues, c’est aussi pour ça qu’on a de belles ressources à l’université dont les ressources des bibliothécaires. Donc, c’est ça de savoir demander de l’aide, ça, c’est super important. Je dirais aussi de bonnes capacités d’analyse à l’écrit, parce que vous allez faire beaucoup de lecture. Donc d’être capable de bien vous concentrer, capable de cibler les éléments qui sont prioritaires dans la littérature que vous allez aller chercher. C’est sûr que ça va être de bonnes qualités à utiliser pour votre vue de la portée.</w:t>
      </w:r>
    </w:p>
    <w:p w:rsidR="00B74710" w:rsidRPr="00B74710" w:rsidRDefault="00B74710" w:rsidP="00532777">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Comment bien se préparer à un examen de portée ?</w:t>
      </w:r>
    </w:p>
    <w:p w:rsidR="00B74710" w:rsidRPr="00B74710" w:rsidRDefault="00B74710" w:rsidP="00532777">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t>Donc, pour bien se préparer premièrement, c’est sûr que la stratégie de recherche, elle est primordiale parce que c’est la base de votre revue de la portée dont elle peut soit faire que votre revue de la portée va être d’une extrême qualité ou qu’elle va être médiocre, parce qu’il faut réfléchir au thème que vous allez utiliser. Il faut réfléchir aux banques de données que vous allez utiliser, mais il faut aussi réfléchir à l’équipe que vous allez constituer dans votre vue de la portée. Aussi, pour bien se préparer, c’est intéressant d’aller lire ce qui a été déjà fait dans la littérature, soit scientifique, ou dans la littérature grise. Comme ça vous permet de voir, c’est quoi les questions de recherche qui ont déjà été posées par le passé pour bien formuler la vôtre aussi. Des fois, c’est juste de vous inspirer du travail qui a été fait par d’autres collègues. Une autre bonne manière de vous préparer pour une revue de la portée, ça vos professeurs-chercheurs peuvent vous aider là-dedans — c’est de trouver une revue de la portée qui peut vous servir d’exemple, qui peut vous servir au niveau de la structure de votre recherche, qui peut vous aider aussi à voir de quelle manière est-ce que d’autres personnes ont analysé des données dans une optique de revue de la portée. Donc, c’est ça, de pas hésiter à poser des questions, d’utiliser les ressources bibliothécaires, de bien penser à votre stratégie de recherche et d’avoir un article de référence pour vous aider.</w:t>
      </w:r>
    </w:p>
    <w:p w:rsidR="00B74710" w:rsidRPr="00B74710" w:rsidRDefault="00B74710" w:rsidP="00532777">
      <w:pPr>
        <w:autoSpaceDE w:val="0"/>
        <w:autoSpaceDN w:val="0"/>
        <w:adjustRightInd w:val="0"/>
        <w:ind w:right="589"/>
        <w:jc w:val="both"/>
        <w:rPr>
          <w:rFonts w:ascii="Calibri" w:hAnsi="Calibri" w:cs="Calibri"/>
          <w:kern w:val="0"/>
          <w:sz w:val="22"/>
          <w:szCs w:val="22"/>
        </w:rPr>
      </w:pPr>
      <w:r w:rsidRPr="00B74710">
        <w:rPr>
          <w:rFonts w:ascii="Calibri" w:hAnsi="Calibri" w:cs="Calibri"/>
          <w:kern w:val="0"/>
          <w:sz w:val="22"/>
          <w:szCs w:val="22"/>
        </w:rPr>
        <w:t>Quels sont les trois principaux conseils que vous donneriez aux étudiants qui choisissent d’entreprendre un examen de la portée ? </w:t>
      </w:r>
    </w:p>
    <w:p w:rsidR="00B74710" w:rsidRPr="00B74710" w:rsidRDefault="00B74710" w:rsidP="00B74710">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t xml:space="preserve">Mon premier conseil serait de ne pas travailler toute seule. C’est un facteur de qualité aussi dans l’analyse de vos données, dans la sélection des références que vous allez prendre dans votre revue de la portée de ne pas être un seul évaluateur ou évaluatrice. Donc, si votre contexte le permet, entourez-vous d’une autre personne qui va avoir aussi le temps d’analyser une partie ou l’entièreté des données dont vous allez faire la revue. Parce que, </w:t>
      </w:r>
      <w:proofErr w:type="gramStart"/>
      <w:r w:rsidRPr="00B74710">
        <w:rPr>
          <w:rFonts w:ascii="Calibri" w:hAnsi="Calibri" w:cs="Calibri"/>
          <w:kern w:val="0"/>
          <w:sz w:val="22"/>
          <w:szCs w:val="22"/>
        </w:rPr>
        <w:t>de un</w:t>
      </w:r>
      <w:proofErr w:type="gramEnd"/>
      <w:r w:rsidRPr="00B74710">
        <w:rPr>
          <w:rFonts w:ascii="Calibri" w:hAnsi="Calibri" w:cs="Calibri"/>
          <w:kern w:val="0"/>
          <w:sz w:val="22"/>
          <w:szCs w:val="22"/>
        </w:rPr>
        <w:t xml:space="preserve">, ça va améliorer la qualité de votre étude, mais de deux aussi, ça va rendre le processus beaucoup plus agréable, beaucoup plus facile pour vous, parce que vous vous sentirez pas, tout seul dans le processus. Un autre conseil que je vous dirais, c’est : allez-y une étape à la fois, parce que la revue de la portée, c’est ce qui est intéressant, c’est très balisé comme processus. Donc ça peut avoir l’air gros, mais en même temps, vous avez la chance que </w:t>
      </w:r>
      <w:proofErr w:type="gramStart"/>
      <w:r w:rsidRPr="00B74710">
        <w:rPr>
          <w:rFonts w:ascii="Calibri" w:hAnsi="Calibri" w:cs="Calibri"/>
          <w:kern w:val="0"/>
          <w:sz w:val="22"/>
          <w:szCs w:val="22"/>
        </w:rPr>
        <w:t>c’est</w:t>
      </w:r>
      <w:proofErr w:type="gramEnd"/>
      <w:r w:rsidRPr="00B74710">
        <w:rPr>
          <w:rFonts w:ascii="Calibri" w:hAnsi="Calibri" w:cs="Calibri"/>
          <w:kern w:val="0"/>
          <w:sz w:val="22"/>
          <w:szCs w:val="22"/>
        </w:rPr>
        <w:t xml:space="preserve"> balisé. Vous êtes au courant de c’est quoi les étapes </w:t>
      </w:r>
      <w:r w:rsidRPr="00B74710">
        <w:rPr>
          <w:rFonts w:ascii="Calibri" w:hAnsi="Calibri" w:cs="Calibri"/>
          <w:kern w:val="0"/>
          <w:sz w:val="22"/>
          <w:szCs w:val="22"/>
        </w:rPr>
        <w:lastRenderedPageBreak/>
        <w:t xml:space="preserve">à remplir pour mener à bien votre revue de la portée. Donc, fiez-vous aux étapes et allez-y une à la fois. Vous allez voir, ça va aller bien. Un dernier conseil que je pourrais vous donner, c’est d’utiliser les logiciels qui sont à votre portée dans votre projet. Premièrement, il y a le logiciel </w:t>
      </w:r>
      <w:proofErr w:type="spellStart"/>
      <w:r w:rsidRPr="00B74710">
        <w:rPr>
          <w:rFonts w:ascii="Calibri" w:hAnsi="Calibri" w:cs="Calibri"/>
          <w:kern w:val="0"/>
          <w:sz w:val="22"/>
          <w:szCs w:val="22"/>
        </w:rPr>
        <w:t>Endnote</w:t>
      </w:r>
      <w:proofErr w:type="spellEnd"/>
      <w:r w:rsidRPr="00B74710">
        <w:rPr>
          <w:rFonts w:ascii="Calibri" w:hAnsi="Calibri" w:cs="Calibri"/>
          <w:kern w:val="0"/>
          <w:sz w:val="22"/>
          <w:szCs w:val="22"/>
        </w:rPr>
        <w:t xml:space="preserve">, qui vous permet de classer vos références et qui va être très pratique pour vous lors de la rédaction de votre projet de recherche, par exemple, soit votre rapport final d’un article scientifique ou de votre mémoire, ou votre thèse. Ensuite, utilisez un logiciel qui va vous permettre de classer les références que vous allez répertorier. Il y a, entre autres, le logiciel </w:t>
      </w:r>
      <w:proofErr w:type="spellStart"/>
      <w:r w:rsidRPr="00B74710">
        <w:rPr>
          <w:rFonts w:ascii="Calibri" w:hAnsi="Calibri" w:cs="Calibri"/>
          <w:kern w:val="0"/>
          <w:sz w:val="22"/>
          <w:szCs w:val="22"/>
        </w:rPr>
        <w:t>Covidence</w:t>
      </w:r>
      <w:proofErr w:type="spellEnd"/>
      <w:r w:rsidRPr="00B74710">
        <w:rPr>
          <w:rFonts w:ascii="Calibri" w:hAnsi="Calibri" w:cs="Calibri"/>
          <w:kern w:val="0"/>
          <w:sz w:val="22"/>
          <w:szCs w:val="22"/>
        </w:rPr>
        <w:t>, qui existe, qui est très pratique pour faire la sélection, qui vous permet de faire les suivis dans la sélection par titre et abrégé, par la sélection aussi des textes complets. Et ça vous permet de garder des données tout au long qui vont vous être pratiques au moment de la rédaction de vos rapports, puis de votre article. Donc ça vous permet de concilier plus facilement les données numériques en lien avec votre processus vous, ça vous décharge la mémoire et ça facilite le tout.</w:t>
      </w:r>
    </w:p>
    <w:p w:rsidR="00B74710" w:rsidRPr="00B74710" w:rsidRDefault="00B74710" w:rsidP="00B74710">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t>En guise de synthèse, on retient quatre avantages de l’examen de la portée : orienter ses recherches ; travailler à son rythme ; approfondir un sujet peu étudié ; et, intégrer des sources variées. </w:t>
      </w:r>
    </w:p>
    <w:p w:rsidR="00B74710" w:rsidRPr="00B74710" w:rsidRDefault="00B74710" w:rsidP="00B74710">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t>Ensuite, les qualités utiles à la réalisation de l’examen de la portée sont : s’intéresser au sujet de recherche ; avoir une bonne organisation ; poser des questions ; consulter les personnes-ressources ; et, avoir de bonnes capacités d’analyse et de synthèse. </w:t>
      </w:r>
    </w:p>
    <w:p w:rsidR="00B74710" w:rsidRPr="00B74710" w:rsidRDefault="00B74710" w:rsidP="00B74710">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t>Quatre éléments essentiels pour préparer un examen de la portée : élaborer une stratégie de recherche de qualité ; lire les études antérieures ; formuler efficacement ses questions de recherche ; et, trouver un exemple d’examen de la portée. </w:t>
      </w:r>
    </w:p>
    <w:p w:rsidR="00357531" w:rsidRPr="00532777" w:rsidRDefault="00B74710" w:rsidP="00532777">
      <w:pPr>
        <w:autoSpaceDE w:val="0"/>
        <w:autoSpaceDN w:val="0"/>
        <w:adjustRightInd w:val="0"/>
        <w:jc w:val="both"/>
        <w:rPr>
          <w:rFonts w:ascii="Calibri" w:hAnsi="Calibri" w:cs="Calibri"/>
          <w:kern w:val="0"/>
          <w:sz w:val="22"/>
          <w:szCs w:val="22"/>
        </w:rPr>
      </w:pPr>
      <w:r w:rsidRPr="00B74710">
        <w:rPr>
          <w:rFonts w:ascii="Calibri" w:hAnsi="Calibri" w:cs="Calibri"/>
          <w:kern w:val="0"/>
          <w:sz w:val="22"/>
          <w:szCs w:val="22"/>
        </w:rPr>
        <w:t xml:space="preserve">Finalement, trois conseils à retenir : Ne pas travailler </w:t>
      </w:r>
      <w:proofErr w:type="spellStart"/>
      <w:r w:rsidRPr="00B74710">
        <w:rPr>
          <w:rFonts w:ascii="Calibri" w:hAnsi="Calibri" w:cs="Calibri"/>
          <w:kern w:val="0"/>
          <w:sz w:val="22"/>
          <w:szCs w:val="22"/>
        </w:rPr>
        <w:t>seul·e</w:t>
      </w:r>
      <w:proofErr w:type="spellEnd"/>
      <w:r w:rsidRPr="00B74710">
        <w:rPr>
          <w:rFonts w:ascii="Calibri" w:hAnsi="Calibri" w:cs="Calibri"/>
          <w:kern w:val="0"/>
          <w:sz w:val="22"/>
          <w:szCs w:val="22"/>
        </w:rPr>
        <w:t> ; progresser une étape à la fois ; et, utiliser des logiciels.</w:t>
      </w:r>
    </w:p>
    <w:sectPr w:rsidR="00357531" w:rsidRPr="0053277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E49" w:rsidRDefault="00864E49" w:rsidP="00532777">
      <w:r>
        <w:separator/>
      </w:r>
    </w:p>
  </w:endnote>
  <w:endnote w:type="continuationSeparator" w:id="0">
    <w:p w:rsidR="00864E49" w:rsidRDefault="00864E49" w:rsidP="0053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2777" w:rsidRDefault="00532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043B" w:rsidRDefault="001A043B" w:rsidP="00532777">
    <w:pPr>
      <w:pStyle w:val="cvgsua"/>
      <w:spacing w:before="0" w:beforeAutospacing="0" w:after="0" w:afterAutospacing="0" w:line="276" w:lineRule="auto"/>
      <w:rPr>
        <w:rStyle w:val="oypena"/>
        <w:color w:val="000000" w:themeColor="text1"/>
        <w:sz w:val="20"/>
        <w:szCs w:val="20"/>
      </w:rPr>
    </w:pPr>
  </w:p>
  <w:p w:rsidR="00532777" w:rsidRPr="001A043B" w:rsidRDefault="00532777" w:rsidP="00532777">
    <w:pPr>
      <w:pStyle w:val="cvgsua"/>
      <w:spacing w:before="0" w:beforeAutospacing="0" w:after="0" w:afterAutospacing="0" w:line="276" w:lineRule="auto"/>
      <w:rPr>
        <w:rFonts w:asciiTheme="minorHAnsi" w:hAnsiTheme="minorHAnsi" w:cstheme="minorHAnsi"/>
        <w:color w:val="000000" w:themeColor="text1"/>
        <w:sz w:val="20"/>
        <w:szCs w:val="20"/>
      </w:rPr>
    </w:pPr>
    <w:r w:rsidRPr="001A043B">
      <w:rPr>
        <w:rStyle w:val="oypena"/>
        <w:rFonts w:asciiTheme="minorHAnsi" w:hAnsiTheme="minorHAnsi" w:cstheme="minorHAnsi"/>
        <w:color w:val="000000" w:themeColor="text1"/>
        <w:sz w:val="20"/>
        <w:szCs w:val="20"/>
      </w:rPr>
      <w:t xml:space="preserve">Pour citer ce projet : </w:t>
    </w:r>
  </w:p>
  <w:p w:rsidR="00532777" w:rsidRPr="001A043B" w:rsidRDefault="00532777" w:rsidP="00532777">
    <w:pPr>
      <w:pStyle w:val="cvgsua"/>
      <w:spacing w:before="0" w:beforeAutospacing="0" w:after="0" w:afterAutospacing="0" w:line="276" w:lineRule="auto"/>
      <w:rPr>
        <w:rStyle w:val="oypena"/>
        <w:rFonts w:asciiTheme="minorHAnsi" w:hAnsiTheme="minorHAnsi" w:cstheme="minorHAnsi"/>
        <w:color w:val="000000" w:themeColor="text1"/>
        <w:sz w:val="20"/>
        <w:szCs w:val="20"/>
      </w:rPr>
    </w:pPr>
    <w:proofErr w:type="spellStart"/>
    <w:r w:rsidRPr="001A043B">
      <w:rPr>
        <w:rStyle w:val="oypena"/>
        <w:rFonts w:asciiTheme="minorHAnsi" w:hAnsiTheme="minorHAnsi" w:cstheme="minorHAnsi"/>
        <w:color w:val="000000" w:themeColor="text1"/>
        <w:sz w:val="20"/>
        <w:szCs w:val="20"/>
      </w:rPr>
      <w:t>Lal</w:t>
    </w:r>
    <w:proofErr w:type="spellEnd"/>
    <w:r w:rsidRPr="001A043B">
      <w:rPr>
        <w:rStyle w:val="oypena"/>
        <w:rFonts w:asciiTheme="minorHAnsi" w:hAnsiTheme="minorHAnsi" w:cstheme="minorHAnsi"/>
        <w:color w:val="000000" w:themeColor="text1"/>
        <w:sz w:val="20"/>
        <w:szCs w:val="20"/>
      </w:rPr>
      <w:t xml:space="preserve">, S., Sabatino, T. et Jazi, S. (2024). </w:t>
    </w:r>
    <w:r w:rsidRPr="001A043B">
      <w:rPr>
        <w:rStyle w:val="oypena"/>
        <w:rFonts w:asciiTheme="minorHAnsi" w:hAnsiTheme="minorHAnsi" w:cstheme="minorHAnsi"/>
        <w:i/>
        <w:iCs/>
        <w:color w:val="000000" w:themeColor="text1"/>
        <w:sz w:val="20"/>
        <w:szCs w:val="20"/>
      </w:rPr>
      <w:t>Mieux réussir un examen de la portée en sciences de la santé : Une boîte à outils</w:t>
    </w:r>
    <w:r w:rsidRPr="001A043B">
      <w:rPr>
        <w:rStyle w:val="oypena"/>
        <w:rFonts w:asciiTheme="minorHAnsi" w:hAnsiTheme="minorHAnsi" w:cstheme="minorHAnsi"/>
        <w:color w:val="000000" w:themeColor="text1"/>
        <w:sz w:val="20"/>
        <w:szCs w:val="20"/>
      </w:rPr>
      <w:t>. Université de Montréal. Licence CC BY-NC-SA 4.0 International.</w:t>
    </w:r>
  </w:p>
  <w:p w:rsidR="00532777" w:rsidRPr="001A043B" w:rsidRDefault="00532777" w:rsidP="00532777">
    <w:pPr>
      <w:pStyle w:val="cvgsua"/>
      <w:spacing w:before="0" w:beforeAutospacing="0" w:after="0" w:afterAutospacing="0" w:line="276" w:lineRule="auto"/>
      <w:rPr>
        <w:rStyle w:val="oypena"/>
        <w:rFonts w:asciiTheme="minorHAnsi" w:hAnsiTheme="minorHAnsi" w:cstheme="minorHAns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964"/>
    </w:tblGrid>
    <w:tr w:rsidR="00532777" w:rsidRPr="001A043B" w:rsidTr="00260A3B">
      <w:tc>
        <w:tcPr>
          <w:tcW w:w="1418" w:type="dxa"/>
        </w:tcPr>
        <w:p w:rsidR="00532777" w:rsidRPr="001A043B" w:rsidRDefault="00532777" w:rsidP="00532777">
          <w:pPr>
            <w:pStyle w:val="cvgsua"/>
            <w:spacing w:before="0" w:beforeAutospacing="0" w:after="0" w:afterAutospacing="0" w:line="276" w:lineRule="auto"/>
            <w:rPr>
              <w:rStyle w:val="oypena"/>
              <w:rFonts w:asciiTheme="minorHAnsi" w:hAnsiTheme="minorHAnsi" w:cstheme="minorHAnsi"/>
              <w:color w:val="000000" w:themeColor="text1"/>
              <w:sz w:val="20"/>
              <w:szCs w:val="20"/>
            </w:rPr>
          </w:pPr>
          <w:r w:rsidRPr="001A043B">
            <w:rPr>
              <w:rFonts w:asciiTheme="minorHAnsi" w:hAnsiTheme="minorHAnsi" w:cstheme="minorHAnsi"/>
              <w:noProof/>
              <w:color w:val="000000" w:themeColor="text1"/>
              <w:sz w:val="20"/>
              <w:szCs w:val="20"/>
              <w14:ligatures w14:val="standardContextual"/>
            </w:rPr>
            <w:drawing>
              <wp:inline distT="0" distB="0" distL="0" distR="0" wp14:anchorId="7B789131" wp14:editId="5B66F557">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rsidR="00532777" w:rsidRPr="001A043B" w:rsidRDefault="00532777" w:rsidP="00532777">
          <w:pPr>
            <w:pStyle w:val="cvgsua"/>
            <w:spacing w:before="0" w:beforeAutospacing="0" w:after="0" w:afterAutospacing="0" w:line="276" w:lineRule="auto"/>
            <w:rPr>
              <w:rStyle w:val="oypena"/>
              <w:rFonts w:asciiTheme="minorHAnsi" w:hAnsiTheme="minorHAnsi" w:cstheme="minorHAnsi"/>
              <w:color w:val="000000" w:themeColor="text1"/>
              <w:sz w:val="20"/>
              <w:szCs w:val="20"/>
            </w:rPr>
          </w:pPr>
          <w:r w:rsidRPr="001A043B">
            <w:rPr>
              <w:rStyle w:val="oypena"/>
              <w:rFonts w:asciiTheme="minorHAnsi" w:hAnsiTheme="minorHAnsi" w:cstheme="minorHAnsi"/>
              <w:color w:val="000000" w:themeColor="text1"/>
              <w:sz w:val="20"/>
              <w:szCs w:val="20"/>
            </w:rPr>
            <w:t>Cette œuvre est une ressource éducative libre diffusée sur licence CC BY-NC-SA 4.0 (Attribution-</w:t>
          </w:r>
          <w:proofErr w:type="spellStart"/>
          <w:r w:rsidRPr="001A043B">
            <w:rPr>
              <w:rStyle w:val="oypena"/>
              <w:rFonts w:asciiTheme="minorHAnsi" w:hAnsiTheme="minorHAnsi" w:cstheme="minorHAnsi"/>
              <w:color w:val="000000" w:themeColor="text1"/>
              <w:sz w:val="20"/>
              <w:szCs w:val="20"/>
            </w:rPr>
            <w:t>NonCommercial</w:t>
          </w:r>
          <w:proofErr w:type="spellEnd"/>
          <w:r w:rsidRPr="001A043B">
            <w:rPr>
              <w:rStyle w:val="oypena"/>
              <w:rFonts w:asciiTheme="minorHAnsi" w:hAnsiTheme="minorHAnsi" w:cstheme="minorHAnsi"/>
              <w:color w:val="000000" w:themeColor="text1"/>
              <w:sz w:val="20"/>
              <w:szCs w:val="20"/>
            </w:rPr>
            <w:t>-</w:t>
          </w:r>
          <w:proofErr w:type="spellStart"/>
          <w:r w:rsidRPr="001A043B">
            <w:rPr>
              <w:rStyle w:val="oypena"/>
              <w:rFonts w:asciiTheme="minorHAnsi" w:hAnsiTheme="minorHAnsi" w:cstheme="minorHAnsi"/>
              <w:color w:val="000000" w:themeColor="text1"/>
              <w:sz w:val="20"/>
              <w:szCs w:val="20"/>
            </w:rPr>
            <w:t>ShareAlike</w:t>
          </w:r>
          <w:proofErr w:type="spellEnd"/>
          <w:r w:rsidRPr="001A043B">
            <w:rPr>
              <w:rStyle w:val="oypena"/>
              <w:rFonts w:asciiTheme="minorHAnsi" w:hAnsiTheme="minorHAnsi" w:cstheme="minorHAnsi"/>
              <w:color w:val="000000" w:themeColor="text1"/>
              <w:sz w:val="20"/>
              <w:szCs w:val="20"/>
            </w:rPr>
            <w:t xml:space="preserve"> 4.0 International).</w:t>
          </w:r>
        </w:p>
      </w:tc>
    </w:tr>
  </w:tbl>
  <w:p w:rsidR="00532777" w:rsidRDefault="00532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2777" w:rsidRDefault="00532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E49" w:rsidRDefault="00864E49" w:rsidP="00532777">
      <w:r>
        <w:separator/>
      </w:r>
    </w:p>
  </w:footnote>
  <w:footnote w:type="continuationSeparator" w:id="0">
    <w:p w:rsidR="00864E49" w:rsidRDefault="00864E49" w:rsidP="00532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2777" w:rsidRDefault="00532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2777" w:rsidRDefault="00532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2777" w:rsidRDefault="00532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D33"/>
    <w:multiLevelType w:val="multilevel"/>
    <w:tmpl w:val="2760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18F4"/>
    <w:multiLevelType w:val="multilevel"/>
    <w:tmpl w:val="F97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426DE"/>
    <w:multiLevelType w:val="multilevel"/>
    <w:tmpl w:val="73166C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5D0EF7"/>
    <w:multiLevelType w:val="multilevel"/>
    <w:tmpl w:val="AFD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523F7"/>
    <w:multiLevelType w:val="multilevel"/>
    <w:tmpl w:val="00DA1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F6FF2"/>
    <w:multiLevelType w:val="multilevel"/>
    <w:tmpl w:val="AA0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0302D"/>
    <w:multiLevelType w:val="multilevel"/>
    <w:tmpl w:val="E93C3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DC5BB7"/>
    <w:multiLevelType w:val="multilevel"/>
    <w:tmpl w:val="7D1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6D4CF4"/>
    <w:multiLevelType w:val="multilevel"/>
    <w:tmpl w:val="F432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E13DC"/>
    <w:multiLevelType w:val="multilevel"/>
    <w:tmpl w:val="2C181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645068">
    <w:abstractNumId w:val="7"/>
  </w:num>
  <w:num w:numId="2" w16cid:durableId="24060485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751896311">
    <w:abstractNumId w:val="9"/>
    <w:lvlOverride w:ilvl="0">
      <w:lvl w:ilvl="0">
        <w:numFmt w:val="decimal"/>
        <w:lvlText w:val="%1."/>
        <w:lvlJc w:val="left"/>
      </w:lvl>
    </w:lvlOverride>
  </w:num>
  <w:num w:numId="4" w16cid:durableId="140260483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642974414">
    <w:abstractNumId w:val="4"/>
    <w:lvlOverride w:ilvl="0">
      <w:lvl w:ilvl="0">
        <w:numFmt w:val="decimal"/>
        <w:lvlText w:val="%1."/>
        <w:lvlJc w:val="left"/>
      </w:lvl>
    </w:lvlOverride>
  </w:num>
  <w:num w:numId="6" w16cid:durableId="185129286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2119062807">
    <w:abstractNumId w:val="6"/>
    <w:lvlOverride w:ilvl="0">
      <w:lvl w:ilvl="0">
        <w:numFmt w:val="decimal"/>
        <w:lvlText w:val="%1."/>
        <w:lvlJc w:val="left"/>
      </w:lvl>
    </w:lvlOverride>
  </w:num>
  <w:num w:numId="8" w16cid:durableId="198377579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9" w16cid:durableId="1652519849">
    <w:abstractNumId w:val="2"/>
    <w:lvlOverride w:ilvl="0">
      <w:lvl w:ilvl="0">
        <w:numFmt w:val="decimal"/>
        <w:lvlText w:val="%1."/>
        <w:lvlJc w:val="left"/>
      </w:lvl>
    </w:lvlOverride>
  </w:num>
  <w:num w:numId="10" w16cid:durableId="1022053996">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07"/>
    <w:rsid w:val="001A043B"/>
    <w:rsid w:val="00357531"/>
    <w:rsid w:val="00532777"/>
    <w:rsid w:val="006C3307"/>
    <w:rsid w:val="00864E49"/>
    <w:rsid w:val="00B74710"/>
    <w:rsid w:val="00BD210B"/>
    <w:rsid w:val="00CA7BA9"/>
    <w:rsid w:val="00D60CBC"/>
    <w:rsid w:val="00FF68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084E421"/>
  <w15:chartTrackingRefBased/>
  <w15:docId w15:val="{22B651A6-AF0B-B543-BD9F-FB302CAE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C3307"/>
    <w:pPr>
      <w:spacing w:before="100" w:beforeAutospacing="1" w:after="100" w:afterAutospacing="1"/>
    </w:pPr>
    <w:rPr>
      <w:rFonts w:ascii="Times New Roman" w:eastAsia="Times New Roman" w:hAnsi="Times New Roman" w:cs="Times New Roman"/>
      <w:kern w:val="0"/>
      <w:lang w:eastAsia="fr-CA"/>
      <w14:ligatures w14:val="none"/>
    </w:rPr>
  </w:style>
  <w:style w:type="character" w:styleId="Hyperlien">
    <w:name w:val="Hyperlink"/>
    <w:basedOn w:val="Policepardfaut"/>
    <w:uiPriority w:val="99"/>
    <w:unhideWhenUsed/>
    <w:rsid w:val="00D60CBC"/>
    <w:rPr>
      <w:color w:val="0563C1" w:themeColor="hyperlink"/>
      <w:u w:val="single"/>
    </w:rPr>
  </w:style>
  <w:style w:type="character" w:styleId="Mentionnonrsolue">
    <w:name w:val="Unresolved Mention"/>
    <w:basedOn w:val="Policepardfaut"/>
    <w:uiPriority w:val="99"/>
    <w:semiHidden/>
    <w:unhideWhenUsed/>
    <w:rsid w:val="00D60CBC"/>
    <w:rPr>
      <w:color w:val="605E5C"/>
      <w:shd w:val="clear" w:color="auto" w:fill="E1DFDD"/>
    </w:rPr>
  </w:style>
  <w:style w:type="paragraph" w:styleId="En-tte">
    <w:name w:val="header"/>
    <w:basedOn w:val="Normal"/>
    <w:link w:val="En-tteCar"/>
    <w:uiPriority w:val="99"/>
    <w:unhideWhenUsed/>
    <w:rsid w:val="00532777"/>
    <w:pPr>
      <w:tabs>
        <w:tab w:val="center" w:pos="4320"/>
        <w:tab w:val="right" w:pos="8640"/>
      </w:tabs>
    </w:pPr>
  </w:style>
  <w:style w:type="character" w:customStyle="1" w:styleId="En-tteCar">
    <w:name w:val="En-tête Car"/>
    <w:basedOn w:val="Policepardfaut"/>
    <w:link w:val="En-tte"/>
    <w:uiPriority w:val="99"/>
    <w:rsid w:val="00532777"/>
  </w:style>
  <w:style w:type="paragraph" w:styleId="Pieddepage">
    <w:name w:val="footer"/>
    <w:basedOn w:val="Normal"/>
    <w:link w:val="PieddepageCar"/>
    <w:uiPriority w:val="99"/>
    <w:unhideWhenUsed/>
    <w:rsid w:val="00532777"/>
    <w:pPr>
      <w:tabs>
        <w:tab w:val="center" w:pos="4320"/>
        <w:tab w:val="right" w:pos="8640"/>
      </w:tabs>
    </w:pPr>
  </w:style>
  <w:style w:type="character" w:customStyle="1" w:styleId="PieddepageCar">
    <w:name w:val="Pied de page Car"/>
    <w:basedOn w:val="Policepardfaut"/>
    <w:link w:val="Pieddepage"/>
    <w:uiPriority w:val="99"/>
    <w:rsid w:val="00532777"/>
  </w:style>
  <w:style w:type="paragraph" w:customStyle="1" w:styleId="cvgsua">
    <w:name w:val="cvgsua"/>
    <w:basedOn w:val="Normal"/>
    <w:rsid w:val="00532777"/>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oypena">
    <w:name w:val="oypena"/>
    <w:basedOn w:val="Policepardfaut"/>
    <w:rsid w:val="00532777"/>
  </w:style>
  <w:style w:type="table" w:styleId="Grilledutableau">
    <w:name w:val="Table Grid"/>
    <w:basedOn w:val="TableauNormal"/>
    <w:uiPriority w:val="39"/>
    <w:rsid w:val="00532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1402</Words>
  <Characters>7712</Characters>
  <Application>Microsoft Office Word</Application>
  <DocSecurity>0</DocSecurity>
  <Lines>64</Lines>
  <Paragraphs>18</Paragraphs>
  <ScaleCrop>false</ScaleCrop>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Sabatino (CHUM)</dc:creator>
  <cp:keywords/>
  <dc:description/>
  <cp:lastModifiedBy>Tania Sabatino (CHUM)</cp:lastModifiedBy>
  <cp:revision>6</cp:revision>
  <dcterms:created xsi:type="dcterms:W3CDTF">2024-03-27T03:55:00Z</dcterms:created>
  <dcterms:modified xsi:type="dcterms:W3CDTF">2024-04-04T20:33:00Z</dcterms:modified>
</cp:coreProperties>
</file>