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8C529" w14:textId="238EC123" w:rsidR="009C79CA" w:rsidRPr="002D40F4" w:rsidRDefault="001F04D4" w:rsidP="009C79CA">
      <w:pPr>
        <w:spacing w:after="200" w:line="240" w:lineRule="auto"/>
        <w:ind w:right="442"/>
        <w:rPr>
          <w:rFonts w:ascii="Calibri" w:eastAsia="Times New Roman" w:hAnsi="Calibri" w:cs="Calibri"/>
          <w:b/>
          <w:bCs/>
          <w:color w:val="000000"/>
          <w:sz w:val="32"/>
          <w:szCs w:val="32"/>
        </w:rPr>
      </w:pPr>
      <w:r w:rsidRPr="002D40F4">
        <w:rPr>
          <w:rFonts w:ascii="Calibri" w:eastAsia="Times New Roman" w:hAnsi="Calibri" w:cs="Calibri"/>
          <w:b/>
          <w:bCs/>
          <w:color w:val="000000"/>
          <w:sz w:val="32"/>
          <w:szCs w:val="32"/>
        </w:rPr>
        <w:t>Script v</w:t>
      </w:r>
      <w:r w:rsidR="009C79CA" w:rsidRPr="002D40F4">
        <w:rPr>
          <w:rFonts w:ascii="Calibri" w:eastAsia="Times New Roman" w:hAnsi="Calibri" w:cs="Calibri"/>
          <w:b/>
          <w:bCs/>
          <w:color w:val="000000"/>
          <w:sz w:val="32"/>
          <w:szCs w:val="32"/>
        </w:rPr>
        <w:t>idéo 4 - L’examen de la portée : les conseils de Nadielda, étudiante à la maîtrise</w:t>
      </w:r>
    </w:p>
    <w:p w14:paraId="00000006" w14:textId="77777777" w:rsidR="003E414B" w:rsidRPr="002D40F4" w:rsidRDefault="00000000" w:rsidP="00047084">
      <w:pPr>
        <w:widowControl w:val="0"/>
        <w:rPr>
          <w:rFonts w:ascii="Calibri" w:hAnsi="Calibri" w:cs="Calibri"/>
          <w:sz w:val="24"/>
          <w:szCs w:val="24"/>
        </w:rPr>
      </w:pPr>
      <w:r w:rsidRPr="002D40F4">
        <w:rPr>
          <w:rFonts w:ascii="Calibri" w:hAnsi="Calibri" w:cs="Calibri"/>
          <w:sz w:val="24"/>
          <w:szCs w:val="24"/>
        </w:rPr>
        <w:t>Bonjour, je m'appelle Tamara Lefranc. Je suis étudiante en troisième année en ergothérapie et je suis membre de ViserErgo.</w:t>
      </w:r>
    </w:p>
    <w:p w14:paraId="00000009" w14:textId="3B10895A" w:rsidR="003E414B" w:rsidRPr="002D40F4" w:rsidRDefault="00000000" w:rsidP="00393CA3">
      <w:pPr>
        <w:widowControl w:val="0"/>
        <w:rPr>
          <w:rFonts w:ascii="Calibri" w:hAnsi="Calibri" w:cs="Calibri"/>
          <w:sz w:val="24"/>
          <w:szCs w:val="24"/>
        </w:rPr>
      </w:pPr>
      <w:r w:rsidRPr="002D40F4">
        <w:rPr>
          <w:rFonts w:ascii="Calibri" w:hAnsi="Calibri" w:cs="Calibri"/>
          <w:sz w:val="24"/>
          <w:szCs w:val="24"/>
        </w:rPr>
        <w:t>Bonjour, mon nom, c'est Nadielda Pastor, étudiante à la maîtrise en ergothérapie.</w:t>
      </w:r>
    </w:p>
    <w:p w14:paraId="6B182A38" w14:textId="5A2CDFB4" w:rsidR="006D2ABC" w:rsidRPr="002D40F4" w:rsidRDefault="00000000" w:rsidP="00393CA3">
      <w:pPr>
        <w:spacing w:line="256" w:lineRule="auto"/>
        <w:ind w:right="441"/>
        <w:rPr>
          <w:rFonts w:ascii="Calibri" w:hAnsi="Calibri" w:cs="Calibri"/>
          <w:sz w:val="24"/>
          <w:szCs w:val="24"/>
        </w:rPr>
      </w:pPr>
      <w:r w:rsidRPr="002D40F4">
        <w:rPr>
          <w:rFonts w:ascii="Calibri" w:hAnsi="Calibri" w:cs="Calibri"/>
          <w:sz w:val="24"/>
          <w:szCs w:val="24"/>
        </w:rPr>
        <w:t>Comment s’est passée votre première expérience avec l’examen de la portée ?</w:t>
      </w:r>
    </w:p>
    <w:p w14:paraId="779F0EC6" w14:textId="068EDB41" w:rsidR="006D2ABC" w:rsidRPr="002D40F4" w:rsidRDefault="00000000" w:rsidP="006D2ABC">
      <w:pPr>
        <w:rPr>
          <w:rFonts w:ascii="Calibri" w:hAnsi="Calibri" w:cs="Calibri"/>
          <w:sz w:val="24"/>
          <w:szCs w:val="24"/>
        </w:rPr>
      </w:pPr>
      <w:r w:rsidRPr="002D40F4">
        <w:rPr>
          <w:rFonts w:ascii="Calibri" w:hAnsi="Calibri" w:cs="Calibri"/>
          <w:sz w:val="24"/>
          <w:szCs w:val="24"/>
        </w:rPr>
        <w:t>Pour le moment, je n'ai pas encore terminé mon examen de la portée, car je termine dans deux à trois mois. Mais pour le moment, ça se passe très bien. C'est sûr que c'est un travail de longue haleine, mais ça l'avance bien dans le temps. On sent qu’on va arriver éventuellement</w:t>
      </w:r>
    </w:p>
    <w:p w14:paraId="7EC040A2" w14:textId="317DFE71" w:rsidR="006D2ABC" w:rsidRPr="002D40F4" w:rsidRDefault="00000000" w:rsidP="006D2ABC">
      <w:pPr>
        <w:rPr>
          <w:rFonts w:ascii="Calibri" w:hAnsi="Calibri" w:cs="Calibri"/>
          <w:sz w:val="24"/>
          <w:szCs w:val="24"/>
        </w:rPr>
      </w:pPr>
      <w:r w:rsidRPr="002D40F4">
        <w:rPr>
          <w:rFonts w:ascii="Calibri" w:hAnsi="Calibri" w:cs="Calibri"/>
          <w:sz w:val="24"/>
          <w:szCs w:val="24"/>
        </w:rPr>
        <w:t>Quels sont les avantages d'un étudiant à choisir un examen de la portée?</w:t>
      </w:r>
    </w:p>
    <w:p w14:paraId="32E60663" w14:textId="499706DF" w:rsidR="006D2ABC" w:rsidRPr="002D40F4" w:rsidRDefault="00000000" w:rsidP="00393CA3">
      <w:pPr>
        <w:rPr>
          <w:rFonts w:ascii="Calibri" w:hAnsi="Calibri" w:cs="Calibri"/>
          <w:sz w:val="24"/>
          <w:szCs w:val="24"/>
        </w:rPr>
      </w:pPr>
      <w:r w:rsidRPr="002D40F4">
        <w:rPr>
          <w:rFonts w:ascii="Calibri" w:hAnsi="Calibri" w:cs="Calibri"/>
          <w:sz w:val="24"/>
          <w:szCs w:val="24"/>
        </w:rPr>
        <w:t>Je trouve qu’un examen de la portée, c'est quand même un projet qui peut être versatile. Dans le sens que c'est moins vulnérable des fois à certains imprévus parce que, essentiellement, on va utiliser des articles ou des publications dans une base de données. Je trouve que c'est ça. Ça permet aussi d'avoir des projets qui peuvent être de différentes envergures, comme des fois, un sujet qui va être plus large. Peut permettre d'aller chercher une difféerence base de données. Et ça dépend des intérêts, aussi. On peut aller aussi plus précis en fonction d'une problématique spécifique.</w:t>
      </w:r>
    </w:p>
    <w:p w14:paraId="52C71ECF" w14:textId="41EF8057" w:rsidR="006D2ABC" w:rsidRPr="002D40F4" w:rsidRDefault="00000000" w:rsidP="00393CA3">
      <w:pPr>
        <w:spacing w:line="256" w:lineRule="auto"/>
        <w:ind w:right="441"/>
        <w:rPr>
          <w:rFonts w:ascii="Calibri" w:hAnsi="Calibri" w:cs="Calibri"/>
          <w:sz w:val="24"/>
          <w:szCs w:val="24"/>
        </w:rPr>
      </w:pPr>
      <w:r w:rsidRPr="002D40F4">
        <w:rPr>
          <w:rFonts w:ascii="Calibri" w:hAnsi="Calibri" w:cs="Calibri"/>
          <w:sz w:val="24"/>
          <w:szCs w:val="24"/>
        </w:rPr>
        <w:t xml:space="preserve">Selon vous, quelles sont les qualités qui rendent les étudiants plus habiles dans la réalisation d’un examen de la portée ? </w:t>
      </w:r>
    </w:p>
    <w:p w14:paraId="723A8491" w14:textId="1C1B4F97" w:rsidR="006D2ABC" w:rsidRPr="002D40F4" w:rsidRDefault="00000000" w:rsidP="00393CA3">
      <w:pPr>
        <w:rPr>
          <w:rFonts w:ascii="Calibri" w:hAnsi="Calibri" w:cs="Calibri"/>
          <w:sz w:val="24"/>
          <w:szCs w:val="24"/>
        </w:rPr>
      </w:pPr>
      <w:r w:rsidRPr="002D40F4">
        <w:rPr>
          <w:rFonts w:ascii="Calibri" w:hAnsi="Calibri" w:cs="Calibri"/>
          <w:sz w:val="24"/>
          <w:szCs w:val="24"/>
        </w:rPr>
        <w:t>Je pense que ça peut aider d'être organisé. Parce que ça va être important afin d'organiser ses documents, de se fixer des échéanciers. C'est comme essayer de fixer dans ton horaire des choses qui vont être utiles pour garder une motivation. C'est aussi d'être un étudiant qui est quand même capable de s'autoréguler, dans le sens que d’être capable de faire un travail qui est quand même régulier, malgré d'autres obligations, dans un horaire. Parce que ça va être beaucoup plus motivant de faire comme petit bout par petit bout. La revue de la portée. Versus essayer de faire des gros blitz à certains moments dans l'année qui sont plus opportuns, fait que c'est ça, pas être quelqu'un qui attend d'avoir la motivation pour le faire, mais plus essayer de le faire régulièrement.</w:t>
      </w:r>
    </w:p>
    <w:p w14:paraId="67B6AE52" w14:textId="5EC9205B" w:rsidR="006D2ABC" w:rsidRPr="002D40F4" w:rsidRDefault="00000000" w:rsidP="00393CA3">
      <w:pPr>
        <w:spacing w:line="256" w:lineRule="auto"/>
        <w:ind w:right="441"/>
        <w:rPr>
          <w:rFonts w:ascii="Calibri" w:hAnsi="Calibri" w:cs="Calibri"/>
          <w:sz w:val="24"/>
          <w:szCs w:val="24"/>
        </w:rPr>
      </w:pPr>
      <w:r w:rsidRPr="002D40F4">
        <w:rPr>
          <w:rFonts w:ascii="Calibri" w:hAnsi="Calibri" w:cs="Calibri"/>
          <w:sz w:val="24"/>
          <w:szCs w:val="24"/>
        </w:rPr>
        <w:t>Comment bien se préparer à un examen de portée ?</w:t>
      </w:r>
    </w:p>
    <w:p w14:paraId="24E22DFF" w14:textId="64EB2E5B" w:rsidR="006D2ABC" w:rsidRPr="002D40F4" w:rsidRDefault="00000000" w:rsidP="00393CA3">
      <w:pPr>
        <w:rPr>
          <w:rFonts w:ascii="Calibri" w:hAnsi="Calibri" w:cs="Calibri"/>
          <w:sz w:val="24"/>
          <w:szCs w:val="24"/>
        </w:rPr>
      </w:pPr>
      <w:r w:rsidRPr="002D40F4">
        <w:rPr>
          <w:rFonts w:ascii="Calibri" w:hAnsi="Calibri" w:cs="Calibri"/>
          <w:sz w:val="24"/>
          <w:szCs w:val="24"/>
        </w:rPr>
        <w:t xml:space="preserve">Je pense que pour bien se préparer, il faut avoir une bonne fondation sur c'est quoi l'idée du projet qui va être réalisée. Puis, c'est simple, mais avoir une question qui est claire. Parce que la question, je trouve, est la base pour faire une stratégie de recherche ou pour orienter justement, a voir sa ligne d'arrivée, vers quel but on se dirige. Aussi, ça peut être utile de consulter des vidéos de ressources pour être capable de les utiliser comme il faut, donc être </w:t>
      </w:r>
      <w:r w:rsidRPr="002D40F4">
        <w:rPr>
          <w:rFonts w:ascii="Calibri" w:hAnsi="Calibri" w:cs="Calibri"/>
          <w:sz w:val="24"/>
          <w:szCs w:val="24"/>
        </w:rPr>
        <w:lastRenderedPageBreak/>
        <w:t>quand même autonome pour aller soit revisiter des vidéos, regarder les cours. Puis, c'est ça pour être capable d'utiliser les bases de données de façon plus agile. Puis aussi, avant de débuter les stratégies de recherche de façon vraiment définitive, c'est de se renseigner sur la littérature qui existe déjà pour savoir qu'est-ce qui est déjà fait. Et puis aussi pour se donner une idée de ce qu'on veut chercher dans les bases de données, pour être capable de les explorer, fait comme s'amuser à taper des mots clés et voir ce qui sort. Puis après, ça va vraiment aider à comme savoir où est-ce qu'on m'a emmené dans la littérature en ce moment, pour s'orienter pour la revue de portée.</w:t>
      </w:r>
    </w:p>
    <w:p w14:paraId="1372EF29" w14:textId="2D5E3718" w:rsidR="006D2ABC" w:rsidRPr="002D40F4" w:rsidRDefault="00000000" w:rsidP="00393CA3">
      <w:pPr>
        <w:spacing w:line="256" w:lineRule="auto"/>
        <w:ind w:right="441"/>
        <w:rPr>
          <w:rFonts w:ascii="Calibri" w:hAnsi="Calibri" w:cs="Calibri"/>
          <w:sz w:val="24"/>
          <w:szCs w:val="24"/>
        </w:rPr>
      </w:pPr>
      <w:r w:rsidRPr="002D40F4">
        <w:rPr>
          <w:rFonts w:ascii="Calibri" w:hAnsi="Calibri" w:cs="Calibri"/>
          <w:sz w:val="24"/>
          <w:szCs w:val="24"/>
        </w:rPr>
        <w:t xml:space="preserve">Quels sont les trois principaux conseils que vous donneriez aux étudiants qui choisissent de réaliser un examen de la portée ? </w:t>
      </w:r>
    </w:p>
    <w:p w14:paraId="41596F6D" w14:textId="12746BFD" w:rsidR="00047084" w:rsidRPr="00393CA3" w:rsidRDefault="00000000" w:rsidP="00047084">
      <w:pPr>
        <w:rPr>
          <w:rFonts w:ascii="Calibri" w:hAnsi="Calibri" w:cs="Calibri"/>
          <w:sz w:val="24"/>
          <w:szCs w:val="24"/>
        </w:rPr>
      </w:pPr>
      <w:r w:rsidRPr="002D40F4">
        <w:rPr>
          <w:rFonts w:ascii="Calibri" w:hAnsi="Calibri" w:cs="Calibri"/>
          <w:sz w:val="24"/>
          <w:szCs w:val="24"/>
        </w:rPr>
        <w:t>Je pense mon conseil principal pour que ça soit agréable le plus longtemps possible, c'est vraiment d'en faire comme régulièrement. Je pense y a rien de pire qu'essayer de tout faire en une semaine: tu tries des articles, tu tries des articles. Tu sais, on dirait que l’on voit flou à un moment donné. En faire régulièrement, ça permet de rester un peu centré, plus motivé, ce qui permet de terminer. Aussi, si vous allez probablement travailler en équipe pour ça ou avoir des partenaires dans le projet. Fait que c'est d'avoir une bonne communication, établir un système de fonctionnement pour se dire: on est rendu à quelle étape, puis pour pas soi dédoubler le travail ou effacer des parties importantes, ou des choses comme ça. Pis dernièrement, j'irai connaître et être capable d'utiliser des ressources puis demander de l'aide. Parce que c'est un processus d'apprentissage. On est pas toujours familier avec les revues de portée. Fais que être capable de connaître ses ressources, au niveau de l’UdeM, auprès du corps professoral, des fois il peut y avoir des ressources la. Ou même auprès de ses pairs et des gens qui sont plus à l'aise avec certains matériels. Donc, c'est ça puis au niveau des ressources de l'université, ça peut être regarder les vidéos, aller consulter ses cours et être capable d'utiliser les logiciels de recherche fait que vraiment se familiariser avec tout ça.</w:t>
      </w:r>
    </w:p>
    <w:p w14:paraId="6E197564" w14:textId="659012A4" w:rsidR="00047084" w:rsidRPr="002D40F4" w:rsidRDefault="00000000" w:rsidP="00047084">
      <w:pPr>
        <w:rPr>
          <w:rFonts w:ascii="Calibri" w:hAnsi="Calibri" w:cs="Calibri"/>
          <w:sz w:val="24"/>
          <w:szCs w:val="24"/>
        </w:rPr>
      </w:pPr>
      <w:r w:rsidRPr="002D40F4">
        <w:rPr>
          <w:rFonts w:ascii="Calibri" w:hAnsi="Calibri" w:cs="Calibri"/>
          <w:sz w:val="24"/>
          <w:szCs w:val="24"/>
        </w:rPr>
        <w:t>En guise de synthèse, on retient comme avantage que l’examen de la portée est un projet versatile, car il est moins vulnérable aux imprévus, peut</w:t>
      </w:r>
      <w:r w:rsidR="00393CA3">
        <w:rPr>
          <w:rFonts w:ascii="Calibri" w:hAnsi="Calibri" w:cs="Calibri"/>
          <w:sz w:val="24"/>
          <w:szCs w:val="24"/>
        </w:rPr>
        <w:t>-</w:t>
      </w:r>
      <w:r w:rsidRPr="002D40F4">
        <w:rPr>
          <w:rFonts w:ascii="Calibri" w:hAnsi="Calibri" w:cs="Calibri"/>
          <w:sz w:val="24"/>
          <w:szCs w:val="24"/>
        </w:rPr>
        <w:t xml:space="preserve">être d’envergures différentes, en fonction des intérêts de recherche et d’une problématique spécifique. </w:t>
      </w:r>
    </w:p>
    <w:p w14:paraId="20A4E3AD" w14:textId="59750438" w:rsidR="00047084" w:rsidRPr="002D40F4" w:rsidRDefault="00000000" w:rsidP="00047084">
      <w:pPr>
        <w:rPr>
          <w:rFonts w:ascii="Calibri" w:hAnsi="Calibri" w:cs="Calibri"/>
          <w:sz w:val="24"/>
          <w:szCs w:val="24"/>
        </w:rPr>
      </w:pPr>
      <w:r w:rsidRPr="002D40F4">
        <w:rPr>
          <w:rFonts w:ascii="Calibri" w:hAnsi="Calibri" w:cs="Calibri"/>
          <w:sz w:val="24"/>
          <w:szCs w:val="24"/>
        </w:rPr>
        <w:t xml:space="preserve">Ensuite, les qualités utiles à la réalisation de l’examen de la portée sont : être organisés et travailler régulièrement (par petits bouts). </w:t>
      </w:r>
    </w:p>
    <w:p w14:paraId="755E5B56" w14:textId="792FB18B" w:rsidR="00047084" w:rsidRPr="002D40F4" w:rsidRDefault="00000000" w:rsidP="00047084">
      <w:pPr>
        <w:rPr>
          <w:rFonts w:ascii="Calibri" w:hAnsi="Calibri" w:cs="Calibri"/>
          <w:sz w:val="24"/>
          <w:szCs w:val="24"/>
        </w:rPr>
      </w:pPr>
      <w:r w:rsidRPr="002D40F4">
        <w:rPr>
          <w:rFonts w:ascii="Calibri" w:hAnsi="Calibri" w:cs="Calibri"/>
          <w:sz w:val="24"/>
          <w:szCs w:val="24"/>
        </w:rPr>
        <w:t>Quatre éléments essentiels pour préparer un examen de la portée : avoir une bonne fondation concernant l’idée du projet ; avoir une question de recherche claire ; consulter des ressources ; et, se renseigner sur ce qui existe.</w:t>
      </w:r>
    </w:p>
    <w:p w14:paraId="0000004E" w14:textId="6327F9BD" w:rsidR="003E414B" w:rsidRPr="002D40F4" w:rsidRDefault="00000000">
      <w:pPr>
        <w:rPr>
          <w:rFonts w:ascii="Calibri" w:hAnsi="Calibri" w:cs="Calibri"/>
          <w:sz w:val="24"/>
          <w:szCs w:val="24"/>
        </w:rPr>
      </w:pPr>
      <w:r w:rsidRPr="002D40F4">
        <w:rPr>
          <w:rFonts w:ascii="Calibri" w:hAnsi="Calibri" w:cs="Calibri"/>
          <w:sz w:val="24"/>
          <w:szCs w:val="24"/>
        </w:rPr>
        <w:t xml:space="preserve">Finalement, trois conseils à retenir : Travailler régulièrement ; avoir une bonne communication en équipe ; et, chercher de l’aide et de la formation. </w:t>
      </w:r>
    </w:p>
    <w:sectPr w:rsidR="003E414B" w:rsidRPr="002D40F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5B62C" w14:textId="77777777" w:rsidR="00E76EEE" w:rsidRDefault="00E76EEE" w:rsidP="001F04D4">
      <w:pPr>
        <w:spacing w:line="240" w:lineRule="auto"/>
      </w:pPr>
      <w:r>
        <w:separator/>
      </w:r>
    </w:p>
  </w:endnote>
  <w:endnote w:type="continuationSeparator" w:id="0">
    <w:p w14:paraId="096AFA7E" w14:textId="77777777" w:rsidR="00E76EEE" w:rsidRDefault="00E76EEE" w:rsidP="001F04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769822678"/>
      <w:docPartObj>
        <w:docPartGallery w:val="Page Numbers (Bottom of Page)"/>
        <w:docPartUnique/>
      </w:docPartObj>
    </w:sdtPr>
    <w:sdtContent>
      <w:p w14:paraId="0DD1B5EE" w14:textId="6134AAB8" w:rsidR="001F04D4" w:rsidRDefault="001F04D4" w:rsidP="00B549E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18170CF" w14:textId="77777777" w:rsidR="001F04D4" w:rsidRDefault="001F04D4" w:rsidP="001F04D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5724541"/>
      <w:docPartObj>
        <w:docPartGallery w:val="Page Numbers (Bottom of Page)"/>
        <w:docPartUnique/>
      </w:docPartObj>
    </w:sdtPr>
    <w:sdtContent>
      <w:p w14:paraId="12050F86" w14:textId="3A1A4CE7" w:rsidR="001F04D4" w:rsidRDefault="001F04D4" w:rsidP="00B549E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0006EA9" w14:textId="77777777" w:rsidR="00393CA3" w:rsidRPr="00F514D0" w:rsidRDefault="00393CA3" w:rsidP="00393CA3">
    <w:pPr>
      <w:pStyle w:val="cvgsua"/>
      <w:spacing w:before="0" w:beforeAutospacing="0" w:after="0" w:afterAutospacing="0" w:line="276" w:lineRule="auto"/>
      <w:rPr>
        <w:rFonts w:ascii="Calibri" w:hAnsi="Calibri" w:cs="Calibri"/>
        <w:color w:val="000000" w:themeColor="text1"/>
        <w:sz w:val="20"/>
        <w:szCs w:val="20"/>
      </w:rPr>
    </w:pPr>
    <w:r w:rsidRPr="00F514D0">
      <w:rPr>
        <w:rStyle w:val="oypena"/>
        <w:rFonts w:ascii="Calibri" w:hAnsi="Calibri" w:cs="Calibri"/>
        <w:color w:val="000000" w:themeColor="text1"/>
        <w:sz w:val="20"/>
        <w:szCs w:val="20"/>
      </w:rPr>
      <w:t xml:space="preserve">Pour citer ce projet : </w:t>
    </w:r>
  </w:p>
  <w:p w14:paraId="1BA21DFE" w14:textId="77777777" w:rsidR="00393CA3" w:rsidRPr="00F514D0" w:rsidRDefault="00393CA3" w:rsidP="00393CA3">
    <w:pPr>
      <w:pStyle w:val="cvgsua"/>
      <w:spacing w:before="0" w:beforeAutospacing="0" w:after="0" w:afterAutospacing="0" w:line="276" w:lineRule="auto"/>
      <w:rPr>
        <w:rStyle w:val="oypena"/>
        <w:rFonts w:ascii="Calibri" w:hAnsi="Calibri" w:cs="Calibri"/>
        <w:color w:val="000000" w:themeColor="text1"/>
        <w:sz w:val="20"/>
        <w:szCs w:val="20"/>
      </w:rPr>
    </w:pPr>
    <w:r w:rsidRPr="00F514D0">
      <w:rPr>
        <w:rStyle w:val="oypena"/>
        <w:rFonts w:ascii="Calibri" w:hAnsi="Calibri" w:cs="Calibri"/>
        <w:color w:val="000000" w:themeColor="text1"/>
        <w:sz w:val="20"/>
        <w:szCs w:val="20"/>
      </w:rPr>
      <w:t xml:space="preserve">Lal, S., Sabatino, T. et Jazi, S. (2024). </w:t>
    </w:r>
    <w:r w:rsidRPr="00F514D0">
      <w:rPr>
        <w:rStyle w:val="oypena"/>
        <w:rFonts w:ascii="Calibri" w:hAnsi="Calibri" w:cs="Calibri"/>
        <w:i/>
        <w:iCs/>
        <w:color w:val="000000" w:themeColor="text1"/>
        <w:sz w:val="20"/>
        <w:szCs w:val="20"/>
      </w:rPr>
      <w:t>Mieux réussir un examen de la portée en sciences de la santé : Une boîte à outils</w:t>
    </w:r>
    <w:r w:rsidRPr="00F514D0">
      <w:rPr>
        <w:rStyle w:val="oypena"/>
        <w:rFonts w:ascii="Calibri" w:hAnsi="Calibri" w:cs="Calibri"/>
        <w:color w:val="000000" w:themeColor="text1"/>
        <w:sz w:val="20"/>
        <w:szCs w:val="20"/>
      </w:rPr>
      <w:t>. Université de Montréal. Licence CC BY-NC-SA 4.0 International.</w:t>
    </w:r>
  </w:p>
  <w:p w14:paraId="35654F86" w14:textId="77777777" w:rsidR="00393CA3" w:rsidRPr="00F514D0" w:rsidRDefault="00393CA3" w:rsidP="00393CA3">
    <w:pPr>
      <w:pStyle w:val="cvgsua"/>
      <w:spacing w:before="0" w:beforeAutospacing="0" w:after="0" w:afterAutospacing="0" w:line="276" w:lineRule="auto"/>
      <w:rPr>
        <w:rStyle w:val="oypena"/>
        <w:rFonts w:ascii="Calibri" w:hAnsi="Calibri" w:cs="Calibri"/>
        <w:color w:val="000000" w:themeColor="text1"/>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6"/>
      <w:gridCol w:w="7212"/>
    </w:tblGrid>
    <w:tr w:rsidR="00393CA3" w:rsidRPr="00F514D0" w14:paraId="416552DA" w14:textId="77777777" w:rsidTr="00260A3B">
      <w:tc>
        <w:tcPr>
          <w:tcW w:w="1418" w:type="dxa"/>
        </w:tcPr>
        <w:p w14:paraId="0AA88EA4" w14:textId="77777777" w:rsidR="00393CA3" w:rsidRPr="00F514D0" w:rsidRDefault="00393CA3" w:rsidP="00393CA3">
          <w:pPr>
            <w:pStyle w:val="cvgsua"/>
            <w:spacing w:before="0" w:beforeAutospacing="0" w:after="0" w:afterAutospacing="0" w:line="276" w:lineRule="auto"/>
            <w:rPr>
              <w:rStyle w:val="oypena"/>
              <w:rFonts w:ascii="Calibri" w:hAnsi="Calibri" w:cs="Calibri"/>
              <w:color w:val="000000" w:themeColor="text1"/>
              <w:sz w:val="20"/>
              <w:szCs w:val="20"/>
            </w:rPr>
          </w:pPr>
          <w:r w:rsidRPr="00F514D0">
            <w:rPr>
              <w:rFonts w:ascii="Calibri" w:hAnsi="Calibri" w:cs="Calibri"/>
              <w:noProof/>
              <w:color w:val="000000" w:themeColor="text1"/>
              <w:sz w:val="20"/>
              <w:szCs w:val="20"/>
            </w:rPr>
            <w:drawing>
              <wp:inline distT="0" distB="0" distL="0" distR="0" wp14:anchorId="11CB8E2B" wp14:editId="4919B69A">
                <wp:extent cx="923544" cy="317468"/>
                <wp:effectExtent l="0" t="0" r="3810" b="635"/>
                <wp:docPr id="10244164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16496" name="Image 1024416496"/>
                        <pic:cNvPicPr/>
                      </pic:nvPicPr>
                      <pic:blipFill>
                        <a:blip r:embed="rId1">
                          <a:extLst>
                            <a:ext uri="{28A0092B-C50C-407E-A947-70E740481C1C}">
                              <a14:useLocalDpi xmlns:a14="http://schemas.microsoft.com/office/drawing/2010/main" val="0"/>
                            </a:ext>
                          </a:extLst>
                        </a:blip>
                        <a:stretch>
                          <a:fillRect/>
                        </a:stretch>
                      </pic:blipFill>
                      <pic:spPr>
                        <a:xfrm>
                          <a:off x="0" y="0"/>
                          <a:ext cx="940495" cy="323295"/>
                        </a:xfrm>
                        <a:prstGeom prst="rect">
                          <a:avLst/>
                        </a:prstGeom>
                      </pic:spPr>
                    </pic:pic>
                  </a:graphicData>
                </a:graphic>
              </wp:inline>
            </w:drawing>
          </w:r>
        </w:p>
      </w:tc>
      <w:tc>
        <w:tcPr>
          <w:tcW w:w="7212" w:type="dxa"/>
        </w:tcPr>
        <w:p w14:paraId="7F74DD93" w14:textId="77777777" w:rsidR="00393CA3" w:rsidRPr="00F514D0" w:rsidRDefault="00393CA3" w:rsidP="00393CA3">
          <w:pPr>
            <w:pStyle w:val="cvgsua"/>
            <w:spacing w:before="0" w:beforeAutospacing="0" w:after="0" w:afterAutospacing="0" w:line="276" w:lineRule="auto"/>
            <w:rPr>
              <w:rStyle w:val="oypena"/>
              <w:rFonts w:ascii="Calibri" w:hAnsi="Calibri" w:cs="Calibri"/>
              <w:color w:val="000000" w:themeColor="text1"/>
              <w:sz w:val="20"/>
              <w:szCs w:val="20"/>
            </w:rPr>
          </w:pPr>
          <w:r w:rsidRPr="00F514D0">
            <w:rPr>
              <w:rStyle w:val="oypena"/>
              <w:rFonts w:ascii="Calibri" w:hAnsi="Calibri" w:cs="Calibri"/>
              <w:color w:val="000000" w:themeColor="text1"/>
              <w:sz w:val="20"/>
              <w:szCs w:val="20"/>
            </w:rPr>
            <w:t>Cette œuvre est une ressource éducative libre diffusée sur licence CC BY-NC-SA 4.0 (Attribution-NonCommercial-ShareAlike 4.0 International).</w:t>
          </w:r>
        </w:p>
      </w:tc>
    </w:tr>
  </w:tbl>
  <w:p w14:paraId="4A71FD09" w14:textId="77777777" w:rsidR="001F04D4" w:rsidRDefault="001F04D4" w:rsidP="001F04D4">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27A73" w14:textId="77777777" w:rsidR="00393CA3" w:rsidRDefault="00393CA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7EDB7" w14:textId="77777777" w:rsidR="00E76EEE" w:rsidRDefault="00E76EEE" w:rsidP="001F04D4">
      <w:pPr>
        <w:spacing w:line="240" w:lineRule="auto"/>
      </w:pPr>
      <w:r>
        <w:separator/>
      </w:r>
    </w:p>
  </w:footnote>
  <w:footnote w:type="continuationSeparator" w:id="0">
    <w:p w14:paraId="4452CA37" w14:textId="77777777" w:rsidR="00E76EEE" w:rsidRDefault="00E76EEE" w:rsidP="001F04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BA17F" w14:textId="77777777" w:rsidR="00393CA3" w:rsidRDefault="00393CA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B6E7F" w14:textId="77777777" w:rsidR="00393CA3" w:rsidRDefault="00393CA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B667D" w14:textId="77777777" w:rsidR="00393CA3" w:rsidRDefault="00393CA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B2FCE"/>
    <w:multiLevelType w:val="multilevel"/>
    <w:tmpl w:val="7946D7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45E4A71"/>
    <w:multiLevelType w:val="multilevel"/>
    <w:tmpl w:val="1BCA9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662527B"/>
    <w:multiLevelType w:val="multilevel"/>
    <w:tmpl w:val="02328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84A3CF8"/>
    <w:multiLevelType w:val="multilevel"/>
    <w:tmpl w:val="4DBA5CB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00420458">
    <w:abstractNumId w:val="3"/>
  </w:num>
  <w:num w:numId="2" w16cid:durableId="904486389">
    <w:abstractNumId w:val="1"/>
  </w:num>
  <w:num w:numId="3" w16cid:durableId="1966538943">
    <w:abstractNumId w:val="2"/>
  </w:num>
  <w:num w:numId="4" w16cid:durableId="1055161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14B"/>
    <w:rsid w:val="00047084"/>
    <w:rsid w:val="001F04D4"/>
    <w:rsid w:val="002D40F4"/>
    <w:rsid w:val="00393CA3"/>
    <w:rsid w:val="003E414B"/>
    <w:rsid w:val="00503557"/>
    <w:rsid w:val="005E2CBA"/>
    <w:rsid w:val="006D2ABC"/>
    <w:rsid w:val="008329D0"/>
    <w:rsid w:val="009627B1"/>
    <w:rsid w:val="009C79CA"/>
    <w:rsid w:val="00AA219F"/>
    <w:rsid w:val="00AD6A5F"/>
    <w:rsid w:val="00B07CCE"/>
    <w:rsid w:val="00CD5D11"/>
    <w:rsid w:val="00E76EEE"/>
    <w:rsid w:val="00F514D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301F"/>
  <w15:docId w15:val="{86E4ECAF-70EE-2647-850C-E5F796F3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CA"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9C79CA"/>
    <w:pPr>
      <w:spacing w:before="100" w:beforeAutospacing="1" w:after="100" w:afterAutospacing="1" w:line="240" w:lineRule="auto"/>
    </w:pPr>
    <w:rPr>
      <w:rFonts w:ascii="Times New Roman" w:eastAsia="Times New Roman" w:hAnsi="Times New Roman" w:cs="Times New Roman"/>
      <w:sz w:val="24"/>
      <w:szCs w:val="24"/>
    </w:rPr>
  </w:style>
  <w:style w:type="character" w:styleId="Hyperlien">
    <w:name w:val="Hyperlink"/>
    <w:basedOn w:val="Policepardfaut"/>
    <w:uiPriority w:val="99"/>
    <w:unhideWhenUsed/>
    <w:rsid w:val="001F04D4"/>
    <w:rPr>
      <w:color w:val="0000FF" w:themeColor="hyperlink"/>
      <w:u w:val="single"/>
    </w:rPr>
  </w:style>
  <w:style w:type="character" w:styleId="Mentionnonrsolue">
    <w:name w:val="Unresolved Mention"/>
    <w:basedOn w:val="Policepardfaut"/>
    <w:uiPriority w:val="99"/>
    <w:semiHidden/>
    <w:unhideWhenUsed/>
    <w:rsid w:val="001F04D4"/>
    <w:rPr>
      <w:color w:val="605E5C"/>
      <w:shd w:val="clear" w:color="auto" w:fill="E1DFDD"/>
    </w:rPr>
  </w:style>
  <w:style w:type="paragraph" w:styleId="Pieddepage">
    <w:name w:val="footer"/>
    <w:basedOn w:val="Normal"/>
    <w:link w:val="PieddepageCar"/>
    <w:uiPriority w:val="99"/>
    <w:unhideWhenUsed/>
    <w:rsid w:val="001F04D4"/>
    <w:pPr>
      <w:tabs>
        <w:tab w:val="center" w:pos="4320"/>
        <w:tab w:val="right" w:pos="8640"/>
      </w:tabs>
      <w:spacing w:line="240" w:lineRule="auto"/>
    </w:pPr>
  </w:style>
  <w:style w:type="character" w:customStyle="1" w:styleId="PieddepageCar">
    <w:name w:val="Pied de page Car"/>
    <w:basedOn w:val="Policepardfaut"/>
    <w:link w:val="Pieddepage"/>
    <w:uiPriority w:val="99"/>
    <w:rsid w:val="001F04D4"/>
  </w:style>
  <w:style w:type="character" w:styleId="Numrodepage">
    <w:name w:val="page number"/>
    <w:basedOn w:val="Policepardfaut"/>
    <w:uiPriority w:val="99"/>
    <w:semiHidden/>
    <w:unhideWhenUsed/>
    <w:rsid w:val="001F04D4"/>
  </w:style>
  <w:style w:type="paragraph" w:styleId="En-tte">
    <w:name w:val="header"/>
    <w:basedOn w:val="Normal"/>
    <w:link w:val="En-tteCar"/>
    <w:uiPriority w:val="99"/>
    <w:unhideWhenUsed/>
    <w:rsid w:val="00503557"/>
    <w:pPr>
      <w:tabs>
        <w:tab w:val="center" w:pos="4320"/>
        <w:tab w:val="right" w:pos="8640"/>
      </w:tabs>
      <w:spacing w:line="240" w:lineRule="auto"/>
    </w:pPr>
  </w:style>
  <w:style w:type="character" w:customStyle="1" w:styleId="En-tteCar">
    <w:name w:val="En-tête Car"/>
    <w:basedOn w:val="Policepardfaut"/>
    <w:link w:val="En-tte"/>
    <w:uiPriority w:val="99"/>
    <w:rsid w:val="00503557"/>
  </w:style>
  <w:style w:type="paragraph" w:customStyle="1" w:styleId="cvgsua">
    <w:name w:val="cvgsua"/>
    <w:basedOn w:val="Normal"/>
    <w:rsid w:val="00393C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basedOn w:val="Policepardfaut"/>
    <w:rsid w:val="00393CA3"/>
  </w:style>
  <w:style w:type="table" w:styleId="Grilledutableau">
    <w:name w:val="Table Grid"/>
    <w:basedOn w:val="TableauNormal"/>
    <w:uiPriority w:val="39"/>
    <w:rsid w:val="00393CA3"/>
    <w:pPr>
      <w:spacing w:line="240" w:lineRule="auto"/>
    </w:pPr>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53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A4711-E69F-D548-A95F-48CB16877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880</Words>
  <Characters>4842</Characters>
  <Application>Microsoft Office Word</Application>
  <DocSecurity>0</DocSecurity>
  <Lines>40</Lines>
  <Paragraphs>11</Paragraphs>
  <ScaleCrop>false</ScaleCrop>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Tania Sabatino (CHUM)</cp:lastModifiedBy>
  <cp:revision>6</cp:revision>
  <dcterms:created xsi:type="dcterms:W3CDTF">2024-03-22T00:03:00Z</dcterms:created>
  <dcterms:modified xsi:type="dcterms:W3CDTF">2024-04-04T20:33:00Z</dcterms:modified>
</cp:coreProperties>
</file>